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delle alienazioni e valorizzazioni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il piano delle alienazioni e valorizzazioni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L'art. 58 del D.L. 25 giugno 2008, n.112, cosi' come convertito dalla Legge 6 agosto 2008, n. 133, stabilisce che per procedere al riordino, gestione e valorizzazione del patrimonio immobiliare di Regioni, Province, Comuni e altri Enti Locali, ciascun ente con delibera dell'organo di governo individua, redigendo apposito elenco sulla base e nei limiti della documentazione esistente presso i propri archivi e uffici, i singoli beni immobili ricadenti nel territorio di competenza, non strumentali all'esercizio delle proprie funzioni istituzionali, suscettibili di valorizzazione ovvero di dismissione.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piano delle alienazioni e valorizzazioni immobiliari costituisce documento propedeutico alla redazione del Documento Unico di Programmazione [D.U.P.] nonche' allegato obbligatorio al Bilancio Pluriennale di Previsione.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133/2008 - Legge di conversione del D.L. 112/2008 - D.L. 112/2008 - D.L. 98/2011 - Disposizioni urgenti per la stabilizzazione finanziaria - L. 111/2011 - Legge di conversione del D.L. 98/2011 - L. 214/2011 - Conversione in Legge, con modificazioni, del D.L. 201/2011, recante disposizioni urgenti per la crescita, l'equita' ed il consolidamento dei conti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deliberazione di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